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7B61" w14:textId="572C1EB5" w:rsidR="001C3B05" w:rsidRDefault="00EB2D51" w:rsidP="00EB2D51">
      <w:pPr>
        <w:jc w:val="center"/>
        <w:rPr>
          <w:b/>
          <w:bCs/>
          <w:lang w:val="en-US"/>
        </w:rPr>
      </w:pPr>
      <w:r>
        <w:rPr>
          <w:b/>
          <w:bCs/>
          <w:lang w:val="en-US"/>
        </w:rPr>
        <w:t>ANTI MONEY LAUNDERING AND KNOW YOUR CUSTOMER</w:t>
      </w:r>
    </w:p>
    <w:tbl>
      <w:tblPr>
        <w:tblW w:w="11057" w:type="dxa"/>
        <w:tblInd w:w="-856" w:type="dxa"/>
        <w:tblLook w:val="04A0" w:firstRow="1" w:lastRow="0" w:firstColumn="1" w:lastColumn="0" w:noHBand="0" w:noVBand="1"/>
      </w:tblPr>
      <w:tblGrid>
        <w:gridCol w:w="993"/>
        <w:gridCol w:w="10064"/>
      </w:tblGrid>
      <w:tr w:rsidR="00EB2D51" w:rsidRPr="00EB2D51" w14:paraId="0956104B" w14:textId="77777777" w:rsidTr="00EB2D5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A3BDB" w14:textId="4042ED69" w:rsidR="00EB2D51" w:rsidRPr="00EB2D51" w:rsidRDefault="00EB2D51" w:rsidP="00EB2D51">
            <w:pPr>
              <w:spacing w:after="0" w:line="240" w:lineRule="auto"/>
              <w:jc w:val="center"/>
              <w:rPr>
                <w:rFonts w:ascii="Calibri" w:eastAsia="Times New Roman" w:hAnsi="Calibri" w:cs="Calibri"/>
                <w:b/>
                <w:bCs/>
                <w:color w:val="000000"/>
                <w:kern w:val="0"/>
                <w:sz w:val="24"/>
                <w:szCs w:val="24"/>
                <w:lang w:eastAsia="en-IN"/>
                <w14:ligatures w14:val="none"/>
              </w:rPr>
            </w:pPr>
            <w:r w:rsidRPr="00EB2D51">
              <w:rPr>
                <w:rFonts w:ascii="Calibri" w:eastAsia="Times New Roman" w:hAnsi="Calibri" w:cs="Calibri"/>
                <w:b/>
                <w:bCs/>
                <w:color w:val="000000"/>
                <w:kern w:val="0"/>
                <w:sz w:val="24"/>
                <w:szCs w:val="24"/>
                <w:lang w:eastAsia="en-IN"/>
                <w14:ligatures w14:val="none"/>
              </w:rPr>
              <w:t>Sr. No.</w:t>
            </w:r>
          </w:p>
        </w:tc>
        <w:tc>
          <w:tcPr>
            <w:tcW w:w="10064" w:type="dxa"/>
            <w:tcBorders>
              <w:top w:val="single" w:sz="4" w:space="0" w:color="auto"/>
              <w:left w:val="nil"/>
              <w:bottom w:val="single" w:sz="4" w:space="0" w:color="auto"/>
              <w:right w:val="single" w:sz="4" w:space="0" w:color="auto"/>
            </w:tcBorders>
            <w:shd w:val="clear" w:color="auto" w:fill="auto"/>
            <w:vAlign w:val="center"/>
          </w:tcPr>
          <w:p w14:paraId="166705CC" w14:textId="6D05A837" w:rsidR="00EB2D51" w:rsidRPr="00EB2D51" w:rsidRDefault="00EB2D51" w:rsidP="00EB2D51">
            <w:pPr>
              <w:spacing w:after="0" w:line="240" w:lineRule="auto"/>
              <w:jc w:val="center"/>
              <w:rPr>
                <w:rFonts w:ascii="Calibri" w:eastAsia="Times New Roman" w:hAnsi="Calibri" w:cs="Calibri"/>
                <w:b/>
                <w:bCs/>
                <w:color w:val="000000"/>
                <w:kern w:val="0"/>
                <w:sz w:val="24"/>
                <w:szCs w:val="24"/>
                <w:lang w:eastAsia="en-IN"/>
                <w14:ligatures w14:val="none"/>
              </w:rPr>
            </w:pPr>
            <w:r w:rsidRPr="00EB2D51">
              <w:rPr>
                <w:rFonts w:ascii="Calibri" w:eastAsia="Times New Roman" w:hAnsi="Calibri" w:cs="Calibri"/>
                <w:b/>
                <w:bCs/>
                <w:color w:val="000000"/>
                <w:kern w:val="0"/>
                <w:sz w:val="24"/>
                <w:szCs w:val="24"/>
                <w:lang w:eastAsia="en-IN"/>
                <w14:ligatures w14:val="none"/>
              </w:rPr>
              <w:t>RBI Notifications</w:t>
            </w:r>
          </w:p>
        </w:tc>
      </w:tr>
      <w:tr w:rsidR="00EB2D51" w:rsidRPr="00EB2D51" w14:paraId="29633F32" w14:textId="77777777" w:rsidTr="00EB2D5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B81DA" w14:textId="519192A3" w:rsidR="00EB2D51" w:rsidRPr="00EB2D51" w:rsidRDefault="00EB2D51" w:rsidP="00EB2D5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4" w:type="dxa"/>
            <w:tcBorders>
              <w:top w:val="single" w:sz="4" w:space="0" w:color="auto"/>
              <w:left w:val="nil"/>
              <w:bottom w:val="single" w:sz="4" w:space="0" w:color="auto"/>
              <w:right w:val="single" w:sz="4" w:space="0" w:color="auto"/>
            </w:tcBorders>
            <w:shd w:val="clear" w:color="auto" w:fill="auto"/>
            <w:vAlign w:val="center"/>
          </w:tcPr>
          <w:p w14:paraId="70D152D2" w14:textId="7A702C04" w:rsidR="00EB2D51" w:rsidRPr="00EB2D51" w:rsidRDefault="00EB2D51" w:rsidP="00EB2D51">
            <w:pPr>
              <w:spacing w:after="0" w:line="240" w:lineRule="auto"/>
              <w:rPr>
                <w:rFonts w:ascii="Calibri" w:eastAsia="Times New Roman" w:hAnsi="Calibri" w:cs="Calibri"/>
                <w:color w:val="000000"/>
                <w:kern w:val="0"/>
                <w:sz w:val="24"/>
                <w:szCs w:val="24"/>
                <w:lang w:eastAsia="en-IN"/>
                <w14:ligatures w14:val="none"/>
              </w:rPr>
            </w:pPr>
            <w:r w:rsidRPr="00EB2D51">
              <w:rPr>
                <w:rFonts w:ascii="Calibri" w:eastAsia="Times New Roman" w:hAnsi="Calibri" w:cs="Calibri"/>
                <w:color w:val="000000"/>
                <w:kern w:val="0"/>
                <w:sz w:val="24"/>
                <w:szCs w:val="24"/>
                <w:lang w:eastAsia="en-IN"/>
                <w14:ligatures w14:val="none"/>
              </w:rPr>
              <w:t>Master Circular on SHG-Bank Linkage Programme</w:t>
            </w:r>
          </w:p>
        </w:tc>
      </w:tr>
      <w:tr w:rsidR="00EB2D51" w:rsidRPr="00EB2D51" w14:paraId="57188B7F" w14:textId="77777777" w:rsidTr="00EB2D5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5BBD507" w14:textId="58B36522" w:rsidR="00EB2D51" w:rsidRPr="00EB2D51" w:rsidRDefault="00EB2D51" w:rsidP="00EB2D5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4" w:type="dxa"/>
            <w:tcBorders>
              <w:top w:val="nil"/>
              <w:left w:val="nil"/>
              <w:bottom w:val="single" w:sz="4" w:space="0" w:color="auto"/>
              <w:right w:val="single" w:sz="4" w:space="0" w:color="auto"/>
            </w:tcBorders>
            <w:shd w:val="clear" w:color="auto" w:fill="auto"/>
            <w:vAlign w:val="center"/>
            <w:hideMark/>
          </w:tcPr>
          <w:p w14:paraId="51E847D5" w14:textId="77777777" w:rsidR="00EB2D51" w:rsidRPr="00EB2D51" w:rsidRDefault="00EB2D51" w:rsidP="00EB2D51">
            <w:pPr>
              <w:spacing w:after="0" w:line="240" w:lineRule="auto"/>
              <w:rPr>
                <w:rFonts w:ascii="Calibri" w:eastAsia="Times New Roman" w:hAnsi="Calibri" w:cs="Calibri"/>
                <w:color w:val="000000"/>
                <w:kern w:val="0"/>
                <w:sz w:val="24"/>
                <w:szCs w:val="24"/>
                <w:lang w:eastAsia="en-IN"/>
                <w14:ligatures w14:val="none"/>
              </w:rPr>
            </w:pPr>
            <w:r w:rsidRPr="00EB2D51">
              <w:rPr>
                <w:rFonts w:ascii="Calibri" w:eastAsia="Times New Roman" w:hAnsi="Calibri" w:cs="Calibri"/>
                <w:color w:val="000000"/>
                <w:kern w:val="0"/>
                <w:sz w:val="24"/>
                <w:szCs w:val="24"/>
                <w:lang w:eastAsia="en-IN"/>
                <w14:ligatures w14:val="none"/>
              </w:rPr>
              <w:t>Master Direction on Counterfeit Notes, 2023 - Detection, Reporting and Monitoring</w:t>
            </w:r>
          </w:p>
        </w:tc>
      </w:tr>
      <w:tr w:rsidR="00EB2D51" w:rsidRPr="00EB2D51" w14:paraId="68B40FEB" w14:textId="77777777" w:rsidTr="00EB2D5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3AC6E29" w14:textId="753BB518" w:rsidR="00EB2D51" w:rsidRPr="00EB2D51" w:rsidRDefault="00EB2D51" w:rsidP="00EB2D5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4" w:type="dxa"/>
            <w:tcBorders>
              <w:top w:val="nil"/>
              <w:left w:val="nil"/>
              <w:bottom w:val="single" w:sz="4" w:space="0" w:color="auto"/>
              <w:right w:val="single" w:sz="4" w:space="0" w:color="auto"/>
            </w:tcBorders>
            <w:shd w:val="clear" w:color="auto" w:fill="auto"/>
            <w:vAlign w:val="bottom"/>
            <w:hideMark/>
          </w:tcPr>
          <w:p w14:paraId="690B11BB" w14:textId="77777777" w:rsidR="00EB2D51" w:rsidRPr="00EB2D51" w:rsidRDefault="00EB2D51" w:rsidP="00EB2D51">
            <w:pPr>
              <w:spacing w:after="0" w:line="240" w:lineRule="auto"/>
              <w:rPr>
                <w:rFonts w:ascii="Calibri" w:eastAsia="Times New Roman" w:hAnsi="Calibri" w:cs="Calibri"/>
                <w:color w:val="000000"/>
                <w:kern w:val="0"/>
                <w:sz w:val="24"/>
                <w:szCs w:val="24"/>
                <w:lang w:eastAsia="en-IN"/>
                <w14:ligatures w14:val="none"/>
              </w:rPr>
            </w:pPr>
            <w:r w:rsidRPr="00EB2D51">
              <w:rPr>
                <w:rFonts w:ascii="Calibri" w:eastAsia="Times New Roman" w:hAnsi="Calibri" w:cs="Calibri"/>
                <w:color w:val="000000"/>
                <w:kern w:val="0"/>
                <w:sz w:val="24"/>
                <w:szCs w:val="24"/>
                <w:lang w:eastAsia="en-IN"/>
                <w14:ligatures w14:val="none"/>
              </w:rPr>
              <w:t>Amendment to the Master Direction (MD) on KYC</w:t>
            </w:r>
          </w:p>
        </w:tc>
      </w:tr>
      <w:tr w:rsidR="00EB2D51" w:rsidRPr="00EB2D51" w14:paraId="656353FB" w14:textId="77777777" w:rsidTr="00EB2D51">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ED3942B" w14:textId="0E9F6191" w:rsidR="00EB2D51" w:rsidRPr="00EB2D51" w:rsidRDefault="00EB2D51" w:rsidP="00EB2D5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4" w:type="dxa"/>
            <w:tcBorders>
              <w:top w:val="nil"/>
              <w:left w:val="nil"/>
              <w:bottom w:val="single" w:sz="4" w:space="0" w:color="auto"/>
              <w:right w:val="single" w:sz="4" w:space="0" w:color="auto"/>
            </w:tcBorders>
            <w:shd w:val="clear" w:color="auto" w:fill="auto"/>
            <w:vAlign w:val="bottom"/>
            <w:hideMark/>
          </w:tcPr>
          <w:p w14:paraId="75E821BD" w14:textId="77777777" w:rsidR="00EB2D51" w:rsidRPr="00EB2D51" w:rsidRDefault="00EB2D51" w:rsidP="00EB2D51">
            <w:pPr>
              <w:spacing w:after="0" w:line="240" w:lineRule="auto"/>
              <w:rPr>
                <w:rFonts w:ascii="Calibri" w:eastAsia="Times New Roman" w:hAnsi="Calibri" w:cs="Calibri"/>
                <w:color w:val="000000"/>
                <w:kern w:val="0"/>
                <w:sz w:val="24"/>
                <w:szCs w:val="24"/>
                <w:lang w:eastAsia="en-IN"/>
                <w14:ligatures w14:val="none"/>
              </w:rPr>
            </w:pPr>
            <w:r w:rsidRPr="00EB2D51">
              <w:rPr>
                <w:rFonts w:ascii="Calibri" w:eastAsia="Times New Roman" w:hAnsi="Calibri" w:cs="Calibri"/>
                <w:color w:val="000000"/>
                <w:kern w:val="0"/>
                <w:sz w:val="24"/>
                <w:szCs w:val="24"/>
                <w:lang w:eastAsia="en-IN"/>
                <w14:ligatures w14:val="none"/>
              </w:rPr>
              <w:t>Amendment to the Master Direction (MD) on KYC - Instructions on Wire Transfer</w:t>
            </w:r>
          </w:p>
        </w:tc>
      </w:tr>
    </w:tbl>
    <w:p w14:paraId="50317BD1" w14:textId="77777777" w:rsidR="00EB2D51" w:rsidRDefault="00EB2D51" w:rsidP="00EB2D51">
      <w:pPr>
        <w:rPr>
          <w:b/>
          <w:bCs/>
          <w:lang w:val="en-US"/>
        </w:rPr>
      </w:pPr>
    </w:p>
    <w:p w14:paraId="6229BA57" w14:textId="77777777" w:rsidR="00511EA1" w:rsidRDefault="00511EA1" w:rsidP="00EB2D51">
      <w:pPr>
        <w:rPr>
          <w:b/>
          <w:bCs/>
          <w:lang w:val="en-US"/>
        </w:rPr>
      </w:pPr>
    </w:p>
    <w:p w14:paraId="763A7AD2" w14:textId="77777777" w:rsidR="00511EA1" w:rsidRDefault="00511EA1" w:rsidP="00EB2D51">
      <w:pPr>
        <w:rPr>
          <w:b/>
          <w:bCs/>
          <w:lang w:val="en-US"/>
        </w:rPr>
      </w:pPr>
    </w:p>
    <w:p w14:paraId="16923DDF" w14:textId="77777777" w:rsidR="00511EA1" w:rsidRDefault="00511EA1" w:rsidP="00EB2D51">
      <w:pPr>
        <w:rPr>
          <w:b/>
          <w:bCs/>
          <w:lang w:val="en-US"/>
        </w:rPr>
      </w:pPr>
    </w:p>
    <w:p w14:paraId="0A204AB1" w14:textId="77777777" w:rsidR="00511EA1" w:rsidRDefault="00511EA1" w:rsidP="00EB2D51">
      <w:pPr>
        <w:rPr>
          <w:b/>
          <w:bCs/>
          <w:lang w:val="en-US"/>
        </w:rPr>
      </w:pPr>
    </w:p>
    <w:p w14:paraId="4C7D4036" w14:textId="77777777" w:rsidR="00511EA1" w:rsidRDefault="00511EA1" w:rsidP="00EB2D51">
      <w:pPr>
        <w:rPr>
          <w:b/>
          <w:bCs/>
          <w:lang w:val="en-US"/>
        </w:rPr>
      </w:pPr>
    </w:p>
    <w:p w14:paraId="5675ABE3" w14:textId="77777777" w:rsidR="00511EA1" w:rsidRDefault="00511EA1" w:rsidP="00EB2D51">
      <w:pPr>
        <w:rPr>
          <w:b/>
          <w:bCs/>
          <w:lang w:val="en-US"/>
        </w:rPr>
      </w:pPr>
    </w:p>
    <w:p w14:paraId="4892958A" w14:textId="77777777" w:rsidR="00511EA1" w:rsidRDefault="00511EA1" w:rsidP="00EB2D51">
      <w:pPr>
        <w:rPr>
          <w:b/>
          <w:bCs/>
          <w:lang w:val="en-US"/>
        </w:rPr>
      </w:pPr>
    </w:p>
    <w:p w14:paraId="4F681FC8" w14:textId="77777777" w:rsidR="00511EA1" w:rsidRDefault="00511EA1" w:rsidP="00EB2D51">
      <w:pPr>
        <w:rPr>
          <w:b/>
          <w:bCs/>
          <w:lang w:val="en-US"/>
        </w:rPr>
      </w:pPr>
    </w:p>
    <w:p w14:paraId="2FC220B0" w14:textId="77777777" w:rsidR="00511EA1" w:rsidRDefault="00511EA1" w:rsidP="00EB2D51">
      <w:pPr>
        <w:rPr>
          <w:b/>
          <w:bCs/>
          <w:lang w:val="en-US"/>
        </w:rPr>
      </w:pPr>
    </w:p>
    <w:p w14:paraId="77D52809" w14:textId="77777777" w:rsidR="00511EA1" w:rsidRDefault="00511EA1" w:rsidP="00EB2D51">
      <w:pPr>
        <w:rPr>
          <w:b/>
          <w:bCs/>
          <w:lang w:val="en-US"/>
        </w:rPr>
      </w:pPr>
    </w:p>
    <w:p w14:paraId="5DF3EAC1" w14:textId="77777777" w:rsidR="00511EA1" w:rsidRDefault="00511EA1" w:rsidP="00EB2D51">
      <w:pPr>
        <w:rPr>
          <w:b/>
          <w:bCs/>
          <w:lang w:val="en-US"/>
        </w:rPr>
      </w:pPr>
    </w:p>
    <w:p w14:paraId="1C30FE2F" w14:textId="77777777" w:rsidR="00511EA1" w:rsidRDefault="00511EA1" w:rsidP="00EB2D51">
      <w:pPr>
        <w:rPr>
          <w:b/>
          <w:bCs/>
          <w:lang w:val="en-US"/>
        </w:rPr>
      </w:pPr>
    </w:p>
    <w:p w14:paraId="31EC4AF6" w14:textId="77777777" w:rsidR="00511EA1" w:rsidRDefault="00511EA1" w:rsidP="00EB2D51">
      <w:pPr>
        <w:rPr>
          <w:b/>
          <w:bCs/>
          <w:lang w:val="en-US"/>
        </w:rPr>
      </w:pPr>
    </w:p>
    <w:p w14:paraId="373A2627" w14:textId="77777777" w:rsidR="00511EA1" w:rsidRDefault="00511EA1" w:rsidP="00EB2D51">
      <w:pPr>
        <w:rPr>
          <w:b/>
          <w:bCs/>
          <w:lang w:val="en-US"/>
        </w:rPr>
      </w:pPr>
    </w:p>
    <w:p w14:paraId="5ADA2B54" w14:textId="77777777" w:rsidR="00511EA1" w:rsidRDefault="00511EA1" w:rsidP="00EB2D51">
      <w:pPr>
        <w:rPr>
          <w:b/>
          <w:bCs/>
          <w:lang w:val="en-US"/>
        </w:rPr>
      </w:pPr>
    </w:p>
    <w:p w14:paraId="3A35F75D" w14:textId="77777777" w:rsidR="00511EA1" w:rsidRDefault="00511EA1" w:rsidP="00EB2D51">
      <w:pPr>
        <w:rPr>
          <w:b/>
          <w:bCs/>
          <w:lang w:val="en-US"/>
        </w:rPr>
      </w:pPr>
    </w:p>
    <w:p w14:paraId="415BCC36" w14:textId="77777777" w:rsidR="00511EA1" w:rsidRDefault="00511EA1" w:rsidP="00EB2D51">
      <w:pPr>
        <w:rPr>
          <w:b/>
          <w:bCs/>
          <w:lang w:val="en-US"/>
        </w:rPr>
      </w:pPr>
    </w:p>
    <w:p w14:paraId="59E9BF42" w14:textId="77777777" w:rsidR="00511EA1" w:rsidRDefault="00511EA1" w:rsidP="00EB2D51">
      <w:pPr>
        <w:rPr>
          <w:b/>
          <w:bCs/>
          <w:lang w:val="en-US"/>
        </w:rPr>
      </w:pPr>
    </w:p>
    <w:p w14:paraId="0096261E" w14:textId="77777777" w:rsidR="00511EA1" w:rsidRDefault="00511EA1" w:rsidP="00EB2D51">
      <w:pPr>
        <w:rPr>
          <w:b/>
          <w:bCs/>
          <w:lang w:val="en-US"/>
        </w:rPr>
      </w:pPr>
    </w:p>
    <w:p w14:paraId="24D855A8" w14:textId="77777777" w:rsidR="00511EA1" w:rsidRDefault="00511EA1" w:rsidP="00EB2D51">
      <w:pPr>
        <w:rPr>
          <w:b/>
          <w:bCs/>
          <w:lang w:val="en-US"/>
        </w:rPr>
      </w:pPr>
    </w:p>
    <w:p w14:paraId="2B4645B8" w14:textId="77777777" w:rsidR="00511EA1" w:rsidRDefault="00511EA1" w:rsidP="00EB2D51">
      <w:pPr>
        <w:rPr>
          <w:b/>
          <w:bCs/>
          <w:lang w:val="en-US"/>
        </w:rPr>
      </w:pPr>
    </w:p>
    <w:p w14:paraId="4A0EFCF5" w14:textId="77777777" w:rsidR="00511EA1" w:rsidRDefault="00511EA1" w:rsidP="00EB2D51">
      <w:pPr>
        <w:rPr>
          <w:b/>
          <w:bCs/>
          <w:lang w:val="en-US"/>
        </w:rPr>
      </w:pPr>
    </w:p>
    <w:p w14:paraId="0F05972C" w14:textId="77777777" w:rsidR="00511EA1" w:rsidRDefault="00511EA1" w:rsidP="00EB2D51">
      <w:pPr>
        <w:rPr>
          <w:b/>
          <w:bCs/>
          <w:lang w:val="en-US"/>
        </w:rPr>
      </w:pPr>
    </w:p>
    <w:p w14:paraId="65A81170" w14:textId="77777777" w:rsidR="00511EA1" w:rsidRDefault="00511EA1" w:rsidP="00EB2D51">
      <w:pPr>
        <w:rPr>
          <w:b/>
          <w:bCs/>
          <w:lang w:val="en-US"/>
        </w:rPr>
      </w:pPr>
    </w:p>
    <w:p w14:paraId="7427A986" w14:textId="77777777" w:rsidR="00511EA1" w:rsidRDefault="00511EA1" w:rsidP="00EB2D51">
      <w:pPr>
        <w:rPr>
          <w:b/>
          <w:bCs/>
          <w:lang w:val="en-US"/>
        </w:rPr>
      </w:pPr>
    </w:p>
    <w:p w14:paraId="6ABFFD89" w14:textId="77777777" w:rsidR="00511EA1" w:rsidRDefault="00511EA1" w:rsidP="00EB2D51">
      <w:pPr>
        <w:rPr>
          <w:b/>
          <w:bCs/>
          <w:lang w:val="en-US"/>
        </w:rPr>
      </w:pPr>
    </w:p>
    <w:p w14:paraId="262DCE81" w14:textId="77777777" w:rsidR="00511EA1" w:rsidRDefault="00511EA1" w:rsidP="00511EA1">
      <w:pPr>
        <w:pStyle w:val="NormalWeb"/>
        <w:rPr>
          <w:rFonts w:ascii="Arial" w:hAnsi="Arial" w:cs="Arial"/>
          <w:b/>
          <w:bCs/>
          <w:color w:val="000000"/>
          <w:sz w:val="20"/>
          <w:szCs w:val="20"/>
        </w:rPr>
      </w:pPr>
      <w:bookmarkStart w:id="0" w:name="OLE_LINK39"/>
      <w:bookmarkStart w:id="1" w:name="_Hlk141825029"/>
      <w:r>
        <w:rPr>
          <w:rFonts w:ascii="Arial" w:hAnsi="Arial" w:cs="Arial"/>
          <w:b/>
          <w:bCs/>
          <w:color w:val="000000"/>
          <w:sz w:val="20"/>
          <w:szCs w:val="20"/>
        </w:rPr>
        <w:lastRenderedPageBreak/>
        <w:t>Master Circular on SHG-Bank Linkage Programme</w:t>
      </w:r>
    </w:p>
    <w:bookmarkEnd w:id="0"/>
    <w:p w14:paraId="4657F112"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14:paraId="36C820F2" w14:textId="77777777" w:rsidR="00511EA1" w:rsidRDefault="00511EA1" w:rsidP="00511EA1">
      <w:pPr>
        <w:pStyle w:val="NormalWeb"/>
        <w:jc w:val="right"/>
        <w:rPr>
          <w:rFonts w:ascii="Arial" w:hAnsi="Arial" w:cs="Arial"/>
          <w:color w:val="000000"/>
          <w:sz w:val="20"/>
          <w:szCs w:val="20"/>
        </w:rPr>
      </w:pPr>
      <w:r>
        <w:rPr>
          <w:rFonts w:ascii="Arial" w:hAnsi="Arial" w:cs="Arial"/>
          <w:color w:val="000000"/>
          <w:sz w:val="20"/>
          <w:szCs w:val="20"/>
        </w:rPr>
        <w:t>April 01, 2023</w:t>
      </w:r>
    </w:p>
    <w:p w14:paraId="36A4C2D9"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14:paraId="69D3DDFD"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Madam/ Dear Sir</w:t>
      </w:r>
    </w:p>
    <w:p w14:paraId="7FF826F8" w14:textId="77777777" w:rsidR="00511EA1" w:rsidRDefault="00511EA1" w:rsidP="00511EA1">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14:paraId="6DFC0628"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5"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6" w:anchor="APP" w:history="1">
        <w:r>
          <w:rPr>
            <w:rStyle w:val="Hyperlink"/>
            <w:rFonts w:ascii="Arial" w:hAnsi="Arial" w:cs="Arial"/>
            <w:sz w:val="20"/>
            <w:szCs w:val="20"/>
          </w:rPr>
          <w:t>Appendix</w:t>
        </w:r>
      </w:hyperlink>
      <w:r>
        <w:rPr>
          <w:rFonts w:ascii="Arial" w:hAnsi="Arial" w:cs="Arial"/>
          <w:color w:val="000000"/>
          <w:sz w:val="20"/>
          <w:szCs w:val="20"/>
        </w:rPr>
        <w:t>.</w:t>
      </w:r>
    </w:p>
    <w:p w14:paraId="7885155A"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Yours faithfully</w:t>
      </w:r>
    </w:p>
    <w:p w14:paraId="24912265"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(Sonali Sen Gupta)</w:t>
      </w:r>
      <w:r>
        <w:rPr>
          <w:rFonts w:ascii="Arial" w:hAnsi="Arial" w:cs="Arial"/>
          <w:color w:val="000000"/>
          <w:sz w:val="20"/>
          <w:szCs w:val="20"/>
        </w:rPr>
        <w:br/>
        <w:t>Chief General Manager-in-Charge</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6EE14A8A" w14:textId="77777777" w:rsidR="00511EA1" w:rsidRDefault="00511EA1" w:rsidP="00511EA1">
      <w:pPr>
        <w:pStyle w:val="NormalWeb"/>
        <w:rPr>
          <w:rFonts w:ascii="Arial" w:hAnsi="Arial" w:cs="Arial"/>
          <w:bCs/>
          <w:color w:val="000000"/>
          <w:sz w:val="20"/>
          <w:szCs w:val="20"/>
        </w:rPr>
      </w:pPr>
    </w:p>
    <w:p w14:paraId="53F585C5" w14:textId="77777777" w:rsidR="00511EA1" w:rsidRDefault="00511EA1" w:rsidP="00511EA1">
      <w:r>
        <w:t>More details can be referred to in the below link.</w:t>
      </w:r>
    </w:p>
    <w:p w14:paraId="0D19B74D" w14:textId="77777777" w:rsidR="00511EA1" w:rsidRDefault="00511EA1" w:rsidP="00511EA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https://rbi.org.in/Scripts/NotificationUser.aspx?Id=12470&amp;Mode=0</w:t>
        </w:r>
      </w:hyperlink>
    </w:p>
    <w:p w14:paraId="2E99CB8E" w14:textId="77777777" w:rsidR="00511EA1" w:rsidRDefault="00511EA1" w:rsidP="00511EA1">
      <w:pPr>
        <w:pStyle w:val="NormalWeb"/>
        <w:rPr>
          <w:rFonts w:ascii="Arial" w:hAnsi="Arial" w:cs="Arial"/>
          <w:bCs/>
          <w:color w:val="000000"/>
          <w:sz w:val="20"/>
          <w:szCs w:val="20"/>
        </w:rPr>
      </w:pPr>
    </w:p>
    <w:p w14:paraId="5D22E478" w14:textId="77777777" w:rsidR="00511EA1" w:rsidRDefault="00511EA1" w:rsidP="00511EA1">
      <w:pPr>
        <w:pStyle w:val="NormalWeb"/>
        <w:rPr>
          <w:rFonts w:ascii="Arial" w:hAnsi="Arial" w:cs="Arial"/>
          <w:bCs/>
          <w:color w:val="000000"/>
          <w:sz w:val="20"/>
          <w:szCs w:val="20"/>
        </w:rPr>
      </w:pPr>
    </w:p>
    <w:p w14:paraId="1EA3C04A" w14:textId="77777777" w:rsidR="00511EA1" w:rsidRDefault="00511EA1" w:rsidP="00511EA1">
      <w:pPr>
        <w:pStyle w:val="NormalWeb"/>
        <w:rPr>
          <w:rFonts w:ascii="Arial" w:hAnsi="Arial" w:cs="Arial"/>
          <w:bCs/>
          <w:color w:val="000000"/>
          <w:sz w:val="20"/>
          <w:szCs w:val="20"/>
        </w:rPr>
      </w:pPr>
    </w:p>
    <w:p w14:paraId="0B14918E" w14:textId="77777777" w:rsidR="00511EA1" w:rsidRDefault="00511EA1" w:rsidP="00511EA1">
      <w:pPr>
        <w:pStyle w:val="NormalWeb"/>
        <w:rPr>
          <w:rFonts w:ascii="Arial" w:hAnsi="Arial" w:cs="Arial"/>
          <w:bCs/>
          <w:color w:val="000000"/>
          <w:sz w:val="20"/>
          <w:szCs w:val="20"/>
        </w:rPr>
      </w:pPr>
    </w:p>
    <w:p w14:paraId="2F20B0AE" w14:textId="77777777" w:rsidR="00511EA1" w:rsidRDefault="00511EA1" w:rsidP="00511EA1">
      <w:pPr>
        <w:pStyle w:val="NormalWeb"/>
        <w:rPr>
          <w:rFonts w:ascii="Arial" w:hAnsi="Arial" w:cs="Arial"/>
          <w:bCs/>
          <w:color w:val="000000"/>
          <w:sz w:val="20"/>
          <w:szCs w:val="20"/>
        </w:rPr>
      </w:pPr>
    </w:p>
    <w:p w14:paraId="1426D09D" w14:textId="77777777" w:rsidR="00511EA1" w:rsidRDefault="00511EA1" w:rsidP="00511EA1">
      <w:pPr>
        <w:pStyle w:val="NormalWeb"/>
        <w:rPr>
          <w:rFonts w:ascii="Arial" w:hAnsi="Arial" w:cs="Arial"/>
          <w:bCs/>
          <w:color w:val="000000"/>
          <w:sz w:val="20"/>
          <w:szCs w:val="20"/>
        </w:rPr>
      </w:pPr>
    </w:p>
    <w:p w14:paraId="301DE2DD" w14:textId="77777777" w:rsidR="00511EA1" w:rsidRDefault="00511EA1" w:rsidP="00511EA1">
      <w:pPr>
        <w:pStyle w:val="NormalWeb"/>
        <w:rPr>
          <w:rFonts w:ascii="Arial" w:hAnsi="Arial" w:cs="Arial"/>
          <w:bCs/>
          <w:color w:val="000000"/>
          <w:sz w:val="20"/>
          <w:szCs w:val="20"/>
        </w:rPr>
      </w:pPr>
    </w:p>
    <w:p w14:paraId="05950B3C" w14:textId="77777777" w:rsidR="00511EA1" w:rsidRDefault="00511EA1" w:rsidP="00511EA1">
      <w:pPr>
        <w:pStyle w:val="NormalWeb"/>
        <w:rPr>
          <w:rFonts w:ascii="Arial" w:hAnsi="Arial" w:cs="Arial"/>
          <w:bCs/>
          <w:color w:val="000000"/>
          <w:sz w:val="20"/>
          <w:szCs w:val="20"/>
        </w:rPr>
      </w:pPr>
    </w:p>
    <w:p w14:paraId="41DCB332" w14:textId="77777777" w:rsidR="00511EA1" w:rsidRDefault="00511EA1" w:rsidP="00511EA1">
      <w:pPr>
        <w:pStyle w:val="NormalWeb"/>
        <w:rPr>
          <w:rFonts w:ascii="Arial" w:hAnsi="Arial" w:cs="Arial"/>
          <w:bCs/>
          <w:color w:val="000000"/>
          <w:sz w:val="20"/>
          <w:szCs w:val="20"/>
        </w:rPr>
      </w:pPr>
    </w:p>
    <w:p w14:paraId="4AD35A0F" w14:textId="77777777" w:rsidR="00511EA1" w:rsidRDefault="00511EA1" w:rsidP="00511EA1">
      <w:pPr>
        <w:pStyle w:val="NormalWeb"/>
        <w:rPr>
          <w:rFonts w:ascii="Arial" w:hAnsi="Arial" w:cs="Arial"/>
          <w:bCs/>
          <w:color w:val="000000"/>
          <w:sz w:val="20"/>
          <w:szCs w:val="20"/>
        </w:rPr>
      </w:pPr>
      <w:r>
        <w:rPr>
          <w:rFonts w:ascii="Arial" w:hAnsi="Arial" w:cs="Arial"/>
          <w:bCs/>
          <w:color w:val="000000"/>
          <w:sz w:val="20"/>
          <w:szCs w:val="20"/>
        </w:rPr>
        <w:tab/>
      </w:r>
    </w:p>
    <w:bookmarkEnd w:id="1"/>
    <w:p w14:paraId="3D19E9DE" w14:textId="77777777" w:rsidR="00511EA1" w:rsidRDefault="00511EA1" w:rsidP="00EB2D51">
      <w:pPr>
        <w:rPr>
          <w:b/>
          <w:bCs/>
          <w:lang w:val="en-US"/>
        </w:rPr>
      </w:pPr>
    </w:p>
    <w:p w14:paraId="26BB14EA" w14:textId="77777777" w:rsidR="00511EA1" w:rsidRDefault="00511EA1" w:rsidP="00511EA1">
      <w:pPr>
        <w:pStyle w:val="NormalWeb"/>
        <w:jc w:val="both"/>
        <w:rPr>
          <w:rFonts w:ascii="Arial" w:hAnsi="Arial" w:cs="Arial"/>
          <w:b/>
          <w:bCs/>
          <w:color w:val="000000"/>
          <w:sz w:val="20"/>
          <w:szCs w:val="20"/>
        </w:rPr>
      </w:pPr>
      <w:bookmarkStart w:id="2" w:name="OLE_LINK49"/>
      <w:r>
        <w:rPr>
          <w:rFonts w:ascii="Arial" w:hAnsi="Arial" w:cs="Arial"/>
          <w:b/>
          <w:bCs/>
          <w:color w:val="000000"/>
          <w:sz w:val="20"/>
          <w:szCs w:val="20"/>
        </w:rPr>
        <w:lastRenderedPageBreak/>
        <w:t>Master Direction on Counterfeit Notes, 2023 - Detection, Reporting and Monitoring</w:t>
      </w:r>
    </w:p>
    <w:bookmarkEnd w:id="2"/>
    <w:p w14:paraId="721E0DE0"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RBI/2023-24/98</w:t>
      </w:r>
      <w:r>
        <w:rPr>
          <w:rFonts w:ascii="Arial" w:hAnsi="Arial" w:cs="Arial"/>
          <w:color w:val="000000"/>
          <w:sz w:val="20"/>
          <w:szCs w:val="20"/>
        </w:rPr>
        <w:br/>
        <w:t>DCM (FNVD)/G-1/16.01.05/2023-24</w:t>
      </w:r>
    </w:p>
    <w:p w14:paraId="06074569" w14:textId="77777777" w:rsidR="00511EA1" w:rsidRDefault="00511EA1" w:rsidP="00511EA1">
      <w:pPr>
        <w:pStyle w:val="NormalWeb"/>
        <w:jc w:val="right"/>
        <w:rPr>
          <w:rFonts w:ascii="Arial" w:hAnsi="Arial" w:cs="Arial"/>
          <w:color w:val="000000"/>
          <w:sz w:val="20"/>
          <w:szCs w:val="20"/>
        </w:rPr>
      </w:pPr>
      <w:r>
        <w:rPr>
          <w:rFonts w:ascii="Arial" w:hAnsi="Arial" w:cs="Arial"/>
          <w:color w:val="000000"/>
          <w:sz w:val="20"/>
          <w:szCs w:val="20"/>
        </w:rPr>
        <w:t>April 03, 2023</w:t>
      </w:r>
    </w:p>
    <w:p w14:paraId="5FFE8A82"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All Banks</w:t>
      </w:r>
    </w:p>
    <w:p w14:paraId="4314945D"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Dear Sir / Madam,</w:t>
      </w:r>
    </w:p>
    <w:p w14:paraId="078C8649" w14:textId="77777777" w:rsidR="00511EA1" w:rsidRDefault="00511EA1" w:rsidP="00511EA1">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2023 - Detection, Reporting and Monitoring</w:t>
      </w:r>
    </w:p>
    <w:p w14:paraId="35085179"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instructions/ directives to the banks on counterfeit notes.</w:t>
      </w:r>
    </w:p>
    <w:p w14:paraId="1B2A5637"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/instructions/ directives on the subject has been prepared to enable banks to have all current instructions on counterfeit note at one place for reference.</w:t>
      </w:r>
    </w:p>
    <w:p w14:paraId="423A4BDB"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3. Reserve Bank of India has issued this </w:t>
      </w:r>
      <w:hyperlink r:id="rId8" w:anchor="AN" w:history="1">
        <w:r>
          <w:rPr>
            <w:rStyle w:val="Hyperlink"/>
            <w:rFonts w:ascii="Arial" w:hAnsi="Arial" w:cs="Arial"/>
            <w:sz w:val="20"/>
            <w:szCs w:val="20"/>
          </w:rPr>
          <w:t>Direction</w:t>
        </w:r>
      </w:hyperlink>
      <w:r>
        <w:rPr>
          <w:rFonts w:ascii="Arial" w:hAnsi="Arial" w:cs="Arial"/>
          <w:color w:val="000000"/>
          <w:sz w:val="20"/>
          <w:szCs w:val="20"/>
        </w:rPr>
        <w:t> in exercise of its powers conferred under Section 35A and Section 56 of the Banking Regulation Act, 1949.</w:t>
      </w:r>
    </w:p>
    <w:p w14:paraId="517CDC29"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Yours faithfully,</w:t>
      </w:r>
    </w:p>
    <w:p w14:paraId="3E16F54D"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11CD4DBD" w14:textId="77777777" w:rsidR="00511EA1" w:rsidRDefault="00511EA1" w:rsidP="00511EA1">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C2BF912" w14:textId="77777777" w:rsidR="00511EA1" w:rsidRDefault="00511EA1" w:rsidP="00511EA1">
      <w:pPr>
        <w:pStyle w:val="NormalWeb"/>
        <w:rPr>
          <w:rFonts w:ascii="Arial" w:hAnsi="Arial" w:cs="Arial"/>
          <w:bCs/>
          <w:color w:val="000000"/>
          <w:sz w:val="20"/>
          <w:szCs w:val="20"/>
        </w:rPr>
      </w:pPr>
    </w:p>
    <w:p w14:paraId="0DFEDDDE" w14:textId="77777777" w:rsidR="00511EA1" w:rsidRDefault="00511EA1" w:rsidP="00511EA1">
      <w:r>
        <w:t>More details can be referred to in the below link.</w:t>
      </w:r>
    </w:p>
    <w:p w14:paraId="05923537" w14:textId="77777777" w:rsidR="00511EA1" w:rsidRDefault="00511EA1" w:rsidP="00511EA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https://rbi.org.in/Scripts/NotificationUser.aspx?Id=12480&amp;Mode=0</w:t>
        </w:r>
      </w:hyperlink>
    </w:p>
    <w:p w14:paraId="55102EDC" w14:textId="77777777" w:rsidR="00511EA1" w:rsidRDefault="00511EA1" w:rsidP="00511EA1">
      <w:pPr>
        <w:pStyle w:val="NormalWeb"/>
        <w:rPr>
          <w:rFonts w:ascii="Arial" w:hAnsi="Arial" w:cs="Arial"/>
          <w:bCs/>
          <w:color w:val="000000"/>
          <w:sz w:val="20"/>
          <w:szCs w:val="20"/>
        </w:rPr>
      </w:pPr>
    </w:p>
    <w:p w14:paraId="68E28A62" w14:textId="77777777" w:rsidR="00511EA1" w:rsidRDefault="00511EA1" w:rsidP="00511EA1">
      <w:pPr>
        <w:pStyle w:val="NormalWeb"/>
        <w:rPr>
          <w:rFonts w:ascii="Arial" w:hAnsi="Arial" w:cs="Arial"/>
          <w:bCs/>
          <w:color w:val="000000"/>
          <w:sz w:val="20"/>
          <w:szCs w:val="20"/>
        </w:rPr>
      </w:pPr>
    </w:p>
    <w:p w14:paraId="55E3B0FC" w14:textId="77777777" w:rsidR="00511EA1" w:rsidRDefault="00511EA1" w:rsidP="00511EA1">
      <w:pPr>
        <w:pStyle w:val="NormalWeb"/>
        <w:rPr>
          <w:rFonts w:ascii="Arial" w:hAnsi="Arial" w:cs="Arial"/>
          <w:bCs/>
          <w:color w:val="000000"/>
          <w:sz w:val="20"/>
          <w:szCs w:val="20"/>
        </w:rPr>
      </w:pPr>
    </w:p>
    <w:p w14:paraId="1B099628" w14:textId="77777777" w:rsidR="00511EA1" w:rsidRDefault="00511EA1" w:rsidP="00511EA1">
      <w:pPr>
        <w:pStyle w:val="NormalWeb"/>
        <w:rPr>
          <w:rFonts w:ascii="Arial" w:hAnsi="Arial" w:cs="Arial"/>
          <w:bCs/>
          <w:color w:val="000000"/>
          <w:sz w:val="20"/>
          <w:szCs w:val="20"/>
        </w:rPr>
      </w:pPr>
    </w:p>
    <w:p w14:paraId="59D23181" w14:textId="77777777" w:rsidR="00511EA1" w:rsidRDefault="00511EA1" w:rsidP="00511EA1">
      <w:pPr>
        <w:pStyle w:val="NormalWeb"/>
        <w:rPr>
          <w:rFonts w:ascii="Arial" w:hAnsi="Arial" w:cs="Arial"/>
          <w:bCs/>
          <w:color w:val="000000"/>
          <w:sz w:val="20"/>
          <w:szCs w:val="20"/>
        </w:rPr>
      </w:pPr>
    </w:p>
    <w:p w14:paraId="6FC20BCF" w14:textId="77777777" w:rsidR="00511EA1" w:rsidRDefault="00511EA1" w:rsidP="00511EA1">
      <w:pPr>
        <w:pStyle w:val="NormalWeb"/>
        <w:rPr>
          <w:rFonts w:ascii="Arial" w:hAnsi="Arial" w:cs="Arial"/>
          <w:bCs/>
          <w:color w:val="000000"/>
          <w:sz w:val="20"/>
          <w:szCs w:val="20"/>
        </w:rPr>
      </w:pPr>
    </w:p>
    <w:p w14:paraId="024BFE43" w14:textId="77777777" w:rsidR="00511EA1" w:rsidRDefault="00511EA1" w:rsidP="00511EA1">
      <w:pPr>
        <w:pStyle w:val="NormalWeb"/>
        <w:rPr>
          <w:rFonts w:ascii="Arial" w:hAnsi="Arial" w:cs="Arial"/>
          <w:bCs/>
          <w:color w:val="000000"/>
          <w:sz w:val="20"/>
          <w:szCs w:val="20"/>
        </w:rPr>
      </w:pPr>
    </w:p>
    <w:p w14:paraId="3865FFC5" w14:textId="77777777" w:rsidR="00511EA1" w:rsidRDefault="00511EA1" w:rsidP="00511EA1">
      <w:pPr>
        <w:pStyle w:val="NormalWeb"/>
        <w:rPr>
          <w:rFonts w:ascii="Arial" w:hAnsi="Arial" w:cs="Arial"/>
          <w:bCs/>
          <w:color w:val="000000"/>
          <w:sz w:val="20"/>
          <w:szCs w:val="20"/>
        </w:rPr>
      </w:pPr>
    </w:p>
    <w:p w14:paraId="329B5B0C" w14:textId="77777777" w:rsidR="00511EA1" w:rsidRDefault="00511EA1" w:rsidP="00EB2D51">
      <w:pPr>
        <w:rPr>
          <w:b/>
          <w:bCs/>
          <w:lang w:val="en-US"/>
        </w:rPr>
      </w:pPr>
    </w:p>
    <w:p w14:paraId="610959B1" w14:textId="77777777" w:rsidR="00511EA1" w:rsidRDefault="00511EA1" w:rsidP="00511EA1">
      <w:pPr>
        <w:pStyle w:val="NormalWeb"/>
        <w:spacing w:before="0" w:beforeAutospacing="0"/>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p>
    <w:p w14:paraId="3EC2C3D3"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RBI/2023-24/24</w:t>
      </w:r>
      <w:r>
        <w:rPr>
          <w:rFonts w:ascii="Arial" w:hAnsi="Arial" w:cs="Arial"/>
          <w:color w:val="000000"/>
          <w:sz w:val="20"/>
          <w:szCs w:val="20"/>
        </w:rPr>
        <w:br/>
        <w:t>DOR.AML.REC.111/14.01.001/2023-24</w:t>
      </w:r>
    </w:p>
    <w:p w14:paraId="50DF5E67" w14:textId="77777777" w:rsidR="00511EA1" w:rsidRDefault="00511EA1" w:rsidP="00511EA1">
      <w:pPr>
        <w:pStyle w:val="NormalWeb"/>
        <w:jc w:val="right"/>
        <w:rPr>
          <w:rFonts w:ascii="Arial" w:hAnsi="Arial" w:cs="Arial"/>
          <w:color w:val="000000"/>
          <w:sz w:val="20"/>
          <w:szCs w:val="20"/>
        </w:rPr>
      </w:pPr>
      <w:r>
        <w:rPr>
          <w:rFonts w:ascii="Arial" w:hAnsi="Arial" w:cs="Arial"/>
          <w:color w:val="000000"/>
          <w:sz w:val="20"/>
          <w:szCs w:val="20"/>
        </w:rPr>
        <w:t>April 28, 2023</w:t>
      </w:r>
    </w:p>
    <w:p w14:paraId="24356CB6"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14:paraId="30984D0C"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Dear Sir/Madam,</w:t>
      </w:r>
    </w:p>
    <w:p w14:paraId="5DD09169" w14:textId="77777777" w:rsidR="00511EA1" w:rsidRDefault="00511EA1" w:rsidP="00511EA1">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14:paraId="256750FF"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0"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14:paraId="079B170A"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 (a) align the instructions with the recent amendments carried out in the Prevention of Money Laundering (Maintenance of Records) Rules, 2005, (b) incorporate instructions in terms of the Government Order dated January 30, 2023, titled “Procedure for Implementation of Section 12A of the Weapons of Mass Destruction (WMD) and their Delivery Systems (Prohibition of Unlawful Activities) Act, 2005 (WMD Act, 2005)”; (c) update certain instructions in accordance with FATF Recommendations; and (d) refine certain extant instructions post review. The changes carried out in the MD in this regard are provided in </w:t>
      </w:r>
      <w:hyperlink r:id="rId11" w:tgtFrame="_blank" w:history="1">
        <w:r>
          <w:rPr>
            <w:rStyle w:val="Hyperlink"/>
            <w:rFonts w:ascii="Arial" w:hAnsi="Arial" w:cs="Arial"/>
            <w:sz w:val="20"/>
            <w:szCs w:val="20"/>
          </w:rPr>
          <w:t>Annexure</w:t>
        </w:r>
      </w:hyperlink>
      <w:r>
        <w:rPr>
          <w:rFonts w:ascii="Arial" w:hAnsi="Arial" w:cs="Arial"/>
          <w:color w:val="000000"/>
          <w:sz w:val="20"/>
          <w:szCs w:val="20"/>
        </w:rPr>
        <w:t>.</w:t>
      </w:r>
    </w:p>
    <w:p w14:paraId="63CF8A49"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12"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14:paraId="2BF90071" w14:textId="77777777" w:rsidR="00511EA1" w:rsidRDefault="00511EA1" w:rsidP="00511EA1">
      <w:pPr>
        <w:pStyle w:val="NormalWeb"/>
        <w:jc w:val="both"/>
        <w:rPr>
          <w:rFonts w:ascii="Arial" w:hAnsi="Arial" w:cs="Arial"/>
          <w:color w:val="000000"/>
          <w:sz w:val="20"/>
          <w:szCs w:val="20"/>
        </w:rPr>
      </w:pPr>
      <w:r>
        <w:rPr>
          <w:rFonts w:ascii="Arial" w:hAnsi="Arial" w:cs="Arial"/>
          <w:color w:val="000000"/>
          <w:sz w:val="20"/>
          <w:szCs w:val="20"/>
        </w:rPr>
        <w:t>Yours faithfully,</w:t>
      </w:r>
    </w:p>
    <w:p w14:paraId="0A92B470"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3920E7CF" w14:textId="77777777" w:rsidR="00511EA1" w:rsidRDefault="00511EA1" w:rsidP="00511EA1">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3E69AFBD" w14:textId="77777777" w:rsidR="00511EA1" w:rsidRDefault="00511EA1" w:rsidP="00511EA1">
      <w:pPr>
        <w:spacing w:before="240" w:after="0"/>
      </w:pPr>
    </w:p>
    <w:p w14:paraId="7787C0B2" w14:textId="77777777" w:rsidR="00511EA1" w:rsidRDefault="00511EA1" w:rsidP="00511EA1">
      <w:pPr>
        <w:spacing w:before="240" w:after="0"/>
      </w:pPr>
      <w:r>
        <w:t>More details can be referred to in the below link.</w:t>
      </w:r>
    </w:p>
    <w:p w14:paraId="2DF8611B" w14:textId="77777777" w:rsidR="00511EA1" w:rsidRDefault="00511EA1" w:rsidP="00511EA1">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5F425E">
          <w:rPr>
            <w:rStyle w:val="Hyperlink"/>
            <w:rFonts w:ascii="Arial" w:hAnsi="Arial" w:cs="Arial"/>
            <w:bCs/>
            <w:sz w:val="20"/>
            <w:szCs w:val="20"/>
          </w:rPr>
          <w:t>https://rbi.org.in/Scripts/NotificationUser.aspx?Id=12497&amp;Mode=0</w:t>
        </w:r>
      </w:hyperlink>
    </w:p>
    <w:p w14:paraId="2CB206C7" w14:textId="77777777" w:rsidR="00511EA1" w:rsidRDefault="00511EA1" w:rsidP="00511EA1">
      <w:pPr>
        <w:pStyle w:val="NormalWeb"/>
        <w:spacing w:before="240" w:beforeAutospacing="0"/>
        <w:rPr>
          <w:rFonts w:ascii="Arial" w:hAnsi="Arial" w:cs="Arial"/>
          <w:bCs/>
          <w:color w:val="000000"/>
          <w:sz w:val="20"/>
          <w:szCs w:val="20"/>
        </w:rPr>
      </w:pPr>
      <w:r>
        <w:rPr>
          <w:rFonts w:ascii="Arial" w:hAnsi="Arial" w:cs="Arial"/>
          <w:bCs/>
          <w:color w:val="000000"/>
          <w:sz w:val="20"/>
          <w:szCs w:val="20"/>
        </w:rPr>
        <w:tab/>
      </w:r>
    </w:p>
    <w:p w14:paraId="44BABC16" w14:textId="77777777" w:rsidR="00511EA1" w:rsidRDefault="00511EA1" w:rsidP="00511EA1">
      <w:pPr>
        <w:pStyle w:val="NormalWeb"/>
        <w:spacing w:before="240" w:beforeAutospacing="0"/>
        <w:rPr>
          <w:rFonts w:ascii="Arial" w:hAnsi="Arial" w:cs="Arial"/>
          <w:bCs/>
          <w:color w:val="000000"/>
          <w:sz w:val="20"/>
          <w:szCs w:val="20"/>
        </w:rPr>
      </w:pPr>
    </w:p>
    <w:p w14:paraId="4ACE6FE2" w14:textId="77777777" w:rsidR="00511EA1" w:rsidRDefault="00511EA1" w:rsidP="00511EA1">
      <w:pPr>
        <w:pStyle w:val="NormalWeb"/>
        <w:spacing w:before="240" w:beforeAutospacing="0"/>
        <w:rPr>
          <w:rFonts w:ascii="Arial" w:hAnsi="Arial" w:cs="Arial"/>
          <w:bCs/>
          <w:color w:val="000000"/>
          <w:sz w:val="20"/>
          <w:szCs w:val="20"/>
        </w:rPr>
      </w:pPr>
    </w:p>
    <w:p w14:paraId="6CA70D69" w14:textId="77777777" w:rsidR="00511EA1" w:rsidRDefault="00511EA1" w:rsidP="00511EA1">
      <w:pPr>
        <w:pStyle w:val="NormalWeb"/>
        <w:spacing w:before="240" w:beforeAutospacing="0"/>
        <w:rPr>
          <w:rFonts w:ascii="Arial" w:hAnsi="Arial" w:cs="Arial"/>
          <w:bCs/>
          <w:color w:val="000000"/>
          <w:sz w:val="20"/>
          <w:szCs w:val="20"/>
        </w:rPr>
      </w:pPr>
    </w:p>
    <w:p w14:paraId="5FBA6CF4" w14:textId="77777777" w:rsidR="00511EA1" w:rsidRDefault="00511EA1" w:rsidP="00511EA1">
      <w:pPr>
        <w:pStyle w:val="NormalWeb"/>
        <w:spacing w:before="240" w:beforeAutospacing="0"/>
        <w:rPr>
          <w:rFonts w:ascii="Arial" w:hAnsi="Arial" w:cs="Arial"/>
          <w:bCs/>
          <w:color w:val="000000"/>
          <w:sz w:val="20"/>
          <w:szCs w:val="20"/>
        </w:rPr>
      </w:pPr>
    </w:p>
    <w:p w14:paraId="0DF2B791" w14:textId="77777777" w:rsidR="00511EA1" w:rsidRDefault="00511EA1" w:rsidP="00511EA1">
      <w:pPr>
        <w:pStyle w:val="NormalWeb"/>
        <w:spacing w:before="240" w:beforeAutospacing="0"/>
        <w:rPr>
          <w:rFonts w:ascii="Arial" w:hAnsi="Arial" w:cs="Arial"/>
          <w:bCs/>
          <w:color w:val="000000"/>
          <w:sz w:val="20"/>
          <w:szCs w:val="20"/>
        </w:rPr>
      </w:pPr>
    </w:p>
    <w:p w14:paraId="3378F0DF" w14:textId="77777777" w:rsidR="00511EA1" w:rsidRDefault="00511EA1" w:rsidP="00511EA1">
      <w:pPr>
        <w:pStyle w:val="NormalWeb"/>
        <w:spacing w:before="240" w:beforeAutospacing="0"/>
        <w:rPr>
          <w:rFonts w:ascii="Arial" w:hAnsi="Arial" w:cs="Arial"/>
          <w:bCs/>
          <w:color w:val="000000"/>
          <w:sz w:val="20"/>
          <w:szCs w:val="20"/>
        </w:rPr>
      </w:pPr>
    </w:p>
    <w:p w14:paraId="41BD6185" w14:textId="77777777" w:rsidR="00511EA1" w:rsidRDefault="00511EA1" w:rsidP="00511EA1">
      <w:pPr>
        <w:pStyle w:val="NormalWeb"/>
        <w:spacing w:before="240" w:beforeAutospacing="0"/>
        <w:rPr>
          <w:rFonts w:ascii="Arial" w:hAnsi="Arial" w:cs="Arial"/>
          <w:b/>
          <w:bCs/>
          <w:color w:val="000000"/>
          <w:sz w:val="20"/>
          <w:szCs w:val="20"/>
        </w:rPr>
      </w:pPr>
      <w:bookmarkStart w:id="3" w:name="OLE_LINK67"/>
      <w:r>
        <w:rPr>
          <w:rFonts w:ascii="Arial" w:hAnsi="Arial" w:cs="Arial"/>
          <w:b/>
          <w:bCs/>
          <w:color w:val="000000"/>
          <w:sz w:val="20"/>
          <w:szCs w:val="20"/>
        </w:rPr>
        <w:lastRenderedPageBreak/>
        <w:t>Amendment to the Master Direction (MD) on KYC – Instructions on Wire Transfer</w:t>
      </w:r>
    </w:p>
    <w:bookmarkEnd w:id="3"/>
    <w:p w14:paraId="1953023C"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RBI/2023-24/25</w:t>
      </w:r>
      <w:r>
        <w:rPr>
          <w:rFonts w:ascii="Arial" w:hAnsi="Arial" w:cs="Arial"/>
          <w:color w:val="000000"/>
          <w:sz w:val="20"/>
          <w:szCs w:val="20"/>
        </w:rPr>
        <w:br/>
        <w:t>DOR.AML.REC.13/14.01.001/2023-24</w:t>
      </w:r>
    </w:p>
    <w:p w14:paraId="20898640" w14:textId="77777777" w:rsidR="00511EA1" w:rsidRDefault="00511EA1" w:rsidP="00511EA1">
      <w:pPr>
        <w:pStyle w:val="NormalWeb"/>
        <w:jc w:val="right"/>
        <w:rPr>
          <w:rFonts w:ascii="Arial" w:hAnsi="Arial" w:cs="Arial"/>
          <w:color w:val="000000"/>
          <w:sz w:val="20"/>
          <w:szCs w:val="20"/>
        </w:rPr>
      </w:pPr>
      <w:r>
        <w:rPr>
          <w:rFonts w:ascii="Arial" w:hAnsi="Arial" w:cs="Arial"/>
          <w:color w:val="000000"/>
          <w:sz w:val="20"/>
          <w:szCs w:val="20"/>
        </w:rPr>
        <w:t>May 4, 2023</w:t>
      </w:r>
    </w:p>
    <w:p w14:paraId="56EFFF8B"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The Chairpersons/ CEOs of all the Regulated Entities</w:t>
      </w:r>
    </w:p>
    <w:p w14:paraId="502B5D79"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Dear Sir/Madam,</w:t>
      </w:r>
    </w:p>
    <w:p w14:paraId="2AADCCF7" w14:textId="77777777" w:rsidR="00511EA1" w:rsidRDefault="00511EA1" w:rsidP="00511EA1">
      <w:pPr>
        <w:pStyle w:val="head"/>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p w14:paraId="689CE9AF"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Please refer to the </w:t>
      </w:r>
      <w:hyperlink r:id="rId14"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inter alia, have to undertake certain measures while dealing with the Wire Transfer.</w:t>
      </w:r>
    </w:p>
    <w:p w14:paraId="66BDC320"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2. In this regard, on a review, it has been decided to amend the MD on KYC to update the instructions on Wire Transfer (Section 64 of the MD), also aligning the same with the relevant FATF Recommendation. The amended instructions of Section 64 of the MD on KYC are provided in the </w:t>
      </w:r>
      <w:hyperlink r:id="rId15" w:tgtFrame="_blank" w:history="1">
        <w:r>
          <w:rPr>
            <w:rStyle w:val="Hyperlink"/>
            <w:rFonts w:ascii="Arial" w:hAnsi="Arial" w:cs="Arial"/>
            <w:sz w:val="20"/>
            <w:szCs w:val="20"/>
          </w:rPr>
          <w:t>annexure</w:t>
        </w:r>
      </w:hyperlink>
      <w:r>
        <w:rPr>
          <w:rFonts w:ascii="Arial" w:hAnsi="Arial" w:cs="Arial"/>
          <w:color w:val="000000"/>
          <w:sz w:val="20"/>
          <w:szCs w:val="20"/>
        </w:rPr>
        <w:t> for reference. Further, definitions of the relevant terms used in the amended Wire Transfer instructions are being added in Section 2 (“Definitions”) of the MD on KYC.</w:t>
      </w:r>
    </w:p>
    <w:p w14:paraId="18F399B0"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3. The amended provisions shall come into force with immediate effect.</w:t>
      </w:r>
    </w:p>
    <w:p w14:paraId="545BC077"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Yours faithfully,</w:t>
      </w:r>
    </w:p>
    <w:p w14:paraId="5EF372AA" w14:textId="77777777" w:rsidR="00511EA1" w:rsidRDefault="00511EA1" w:rsidP="00511EA1">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3C82D101" w14:textId="77777777" w:rsidR="00511EA1" w:rsidRDefault="00511EA1" w:rsidP="00511EA1">
      <w:pPr>
        <w:pStyle w:val="NormalWeb"/>
        <w:spacing w:before="240" w:beforeAutospacing="0"/>
        <w:rPr>
          <w:rFonts w:ascii="Arial" w:hAnsi="Arial" w:cs="Arial"/>
          <w:color w:val="000000"/>
          <w:sz w:val="20"/>
          <w:szCs w:val="20"/>
        </w:rPr>
      </w:pPr>
      <w:r>
        <w:rPr>
          <w:rFonts w:ascii="Arial" w:hAnsi="Arial" w:cs="Arial"/>
          <w:color w:val="000000"/>
          <w:sz w:val="20"/>
          <w:szCs w:val="20"/>
        </w:rPr>
        <w:t>Enclosure: As above</w:t>
      </w:r>
    </w:p>
    <w:p w14:paraId="0198E6C3" w14:textId="77777777" w:rsidR="00511EA1" w:rsidRDefault="00511EA1" w:rsidP="00511EA1">
      <w:pPr>
        <w:spacing w:before="240" w:after="0"/>
      </w:pPr>
      <w:r>
        <w:t>More details can be referred to in the below link.</w:t>
      </w:r>
    </w:p>
    <w:p w14:paraId="61D980AF" w14:textId="77777777" w:rsidR="00511EA1" w:rsidRDefault="00511EA1" w:rsidP="00511EA1">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https://rbi.org.in/Scripts/NotificationUser.aspx?Id=12498&amp;Mode=0</w:t>
        </w:r>
      </w:hyperlink>
    </w:p>
    <w:p w14:paraId="702A9C1A" w14:textId="77777777" w:rsidR="00511EA1" w:rsidRDefault="00511EA1" w:rsidP="00511EA1">
      <w:pPr>
        <w:pStyle w:val="NormalWeb"/>
        <w:spacing w:before="240" w:beforeAutospacing="0"/>
        <w:rPr>
          <w:rFonts w:ascii="Arial" w:hAnsi="Arial" w:cs="Arial"/>
          <w:bCs/>
          <w:color w:val="000000"/>
          <w:sz w:val="20"/>
          <w:szCs w:val="20"/>
        </w:rPr>
      </w:pPr>
    </w:p>
    <w:p w14:paraId="2DB397A5" w14:textId="77777777" w:rsidR="00511EA1" w:rsidRDefault="00511EA1" w:rsidP="00511EA1">
      <w:pPr>
        <w:pStyle w:val="NormalWeb"/>
        <w:spacing w:before="240" w:beforeAutospacing="0"/>
        <w:rPr>
          <w:rFonts w:ascii="Arial" w:hAnsi="Arial" w:cs="Arial"/>
          <w:bCs/>
          <w:color w:val="000000"/>
          <w:sz w:val="20"/>
          <w:szCs w:val="20"/>
        </w:rPr>
      </w:pPr>
    </w:p>
    <w:p w14:paraId="5DCD54B4" w14:textId="77777777" w:rsidR="00511EA1" w:rsidRDefault="00511EA1" w:rsidP="00511EA1">
      <w:pPr>
        <w:pStyle w:val="NormalWeb"/>
        <w:spacing w:before="240" w:beforeAutospacing="0"/>
        <w:rPr>
          <w:rFonts w:ascii="Arial" w:hAnsi="Arial" w:cs="Arial"/>
          <w:bCs/>
          <w:color w:val="000000"/>
          <w:sz w:val="20"/>
          <w:szCs w:val="20"/>
        </w:rPr>
      </w:pPr>
    </w:p>
    <w:p w14:paraId="29376D56" w14:textId="77777777" w:rsidR="00511EA1" w:rsidRDefault="00511EA1" w:rsidP="00511EA1">
      <w:pPr>
        <w:pStyle w:val="NormalWeb"/>
        <w:spacing w:before="240" w:beforeAutospacing="0"/>
        <w:rPr>
          <w:rFonts w:ascii="Arial" w:hAnsi="Arial" w:cs="Arial"/>
          <w:bCs/>
          <w:color w:val="000000"/>
          <w:sz w:val="20"/>
          <w:szCs w:val="20"/>
        </w:rPr>
      </w:pPr>
    </w:p>
    <w:p w14:paraId="4E6A3DF4" w14:textId="77777777" w:rsidR="00511EA1" w:rsidRDefault="00511EA1" w:rsidP="00511EA1">
      <w:pPr>
        <w:pStyle w:val="NormalWeb"/>
        <w:spacing w:before="240" w:beforeAutospacing="0"/>
        <w:rPr>
          <w:rFonts w:ascii="Arial" w:hAnsi="Arial" w:cs="Arial"/>
          <w:bCs/>
          <w:color w:val="000000"/>
          <w:sz w:val="20"/>
          <w:szCs w:val="20"/>
        </w:rPr>
      </w:pPr>
    </w:p>
    <w:p w14:paraId="5CD79EF1" w14:textId="77777777" w:rsidR="00511EA1" w:rsidRDefault="00511EA1" w:rsidP="00511EA1">
      <w:pPr>
        <w:pStyle w:val="NormalWeb"/>
        <w:spacing w:before="240" w:beforeAutospacing="0"/>
        <w:rPr>
          <w:rFonts w:ascii="Arial" w:hAnsi="Arial" w:cs="Arial"/>
          <w:bCs/>
          <w:color w:val="000000"/>
          <w:sz w:val="20"/>
          <w:szCs w:val="20"/>
        </w:rPr>
      </w:pPr>
    </w:p>
    <w:p w14:paraId="56F97391" w14:textId="77777777" w:rsidR="00511EA1" w:rsidRDefault="00511EA1" w:rsidP="00511EA1">
      <w:pPr>
        <w:pStyle w:val="NormalWeb"/>
        <w:spacing w:before="240" w:beforeAutospacing="0"/>
        <w:rPr>
          <w:rFonts w:ascii="Arial" w:hAnsi="Arial" w:cs="Arial"/>
          <w:bCs/>
          <w:color w:val="000000"/>
          <w:sz w:val="20"/>
          <w:szCs w:val="20"/>
        </w:rPr>
      </w:pPr>
    </w:p>
    <w:p w14:paraId="3AD370B8" w14:textId="77777777" w:rsidR="00511EA1" w:rsidRDefault="00511EA1" w:rsidP="00511EA1">
      <w:pPr>
        <w:pStyle w:val="NormalWeb"/>
        <w:spacing w:before="240" w:beforeAutospacing="0"/>
        <w:rPr>
          <w:rFonts w:ascii="Arial" w:hAnsi="Arial" w:cs="Arial"/>
          <w:bCs/>
          <w:color w:val="000000"/>
          <w:sz w:val="20"/>
          <w:szCs w:val="20"/>
        </w:rPr>
      </w:pPr>
    </w:p>
    <w:p w14:paraId="5C982406" w14:textId="77777777" w:rsidR="00511EA1" w:rsidRDefault="00511EA1" w:rsidP="00511EA1">
      <w:pPr>
        <w:pStyle w:val="NormalWeb"/>
        <w:spacing w:before="240" w:beforeAutospacing="0"/>
        <w:rPr>
          <w:rFonts w:ascii="Arial" w:hAnsi="Arial" w:cs="Arial"/>
          <w:bCs/>
          <w:color w:val="000000"/>
          <w:sz w:val="20"/>
          <w:szCs w:val="20"/>
        </w:rPr>
      </w:pPr>
    </w:p>
    <w:p w14:paraId="122984E1" w14:textId="77777777" w:rsidR="00511EA1" w:rsidRPr="00EB2D51" w:rsidRDefault="00511EA1" w:rsidP="00EB2D51">
      <w:pPr>
        <w:rPr>
          <w:b/>
          <w:bCs/>
          <w:lang w:val="en-US"/>
        </w:rPr>
      </w:pPr>
    </w:p>
    <w:sectPr w:rsidR="00511EA1" w:rsidRPr="00EB2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16C6B"/>
    <w:multiLevelType w:val="hybridMultilevel"/>
    <w:tmpl w:val="3F7261C2"/>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71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AD"/>
    <w:rsid w:val="001C3B05"/>
    <w:rsid w:val="00511EA1"/>
    <w:rsid w:val="006019AD"/>
    <w:rsid w:val="00CA0BE2"/>
    <w:rsid w:val="00EB2D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815C"/>
  <w15:chartTrackingRefBased/>
  <w15:docId w15:val="{5B750227-64A6-40A5-BA8C-CC85FF0D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D51"/>
    <w:pPr>
      <w:ind w:left="720"/>
      <w:contextualSpacing/>
    </w:pPr>
  </w:style>
  <w:style w:type="paragraph" w:styleId="NormalWeb">
    <w:name w:val="Normal (Web)"/>
    <w:basedOn w:val="Normal"/>
    <w:uiPriority w:val="99"/>
    <w:unhideWhenUsed/>
    <w:rsid w:val="00511EA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511EA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11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480&amp;Mode=0" TargetMode="External"/><Relationship Id="rId13" Type="http://schemas.openxmlformats.org/officeDocument/2006/relationships/hyperlink" Target="https://rbi.org.in/Scripts/NotificationUser.aspx?Id=12497&amp;Mode=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bi.org.in/Scripts/NotificationUser.aspx?Id=12470&amp;Mode=0" TargetMode="External"/><Relationship Id="rId12" Type="http://schemas.openxmlformats.org/officeDocument/2006/relationships/hyperlink" Target="https://www.rbi.org.in/Scripts/BS_ViewMasDirections.aspx?id=115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bi.org.in/Scripts/NotificationUser.aspx?Id=12498&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470&amp;Mode=0" TargetMode="External"/><Relationship Id="rId11" Type="http://schemas.openxmlformats.org/officeDocument/2006/relationships/hyperlink" Target="https://rbidocs.rbi.org.in/rdocs/content/pdfs/NT2428042023_AN.pdf" TargetMode="External"/><Relationship Id="rId5" Type="http://schemas.openxmlformats.org/officeDocument/2006/relationships/hyperlink" Target="https://rbi.org.in/Scripts/NotificationUser.aspx?Id=12470&amp;Mode=0" TargetMode="External"/><Relationship Id="rId15" Type="http://schemas.openxmlformats.org/officeDocument/2006/relationships/hyperlink" Target="https://rbidocs.rbi.org.in/rdocs/content/pdfs/NT2504052023_AN.pdf" TargetMode="External"/><Relationship Id="rId10" Type="http://schemas.openxmlformats.org/officeDocument/2006/relationships/hyperlink" Target="https://www.rbi.org.in/Scripts/BS_ViewMasDirections.aspx?id=11566" TargetMode="External"/><Relationship Id="rId4" Type="http://schemas.openxmlformats.org/officeDocument/2006/relationships/webSettings" Target="webSettings.xml"/><Relationship Id="rId9" Type="http://schemas.openxmlformats.org/officeDocument/2006/relationships/hyperlink" Target="https://rbi.org.in/Scripts/NotificationUser.aspx?Id=12480&amp;Mode=0" TargetMode="External"/><Relationship Id="rId14" Type="http://schemas.openxmlformats.org/officeDocument/2006/relationships/hyperlink" Target="https://www.rbi.org.in/Scripts/BS_ViewMasDirections.aspx?id=11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3</cp:revision>
  <dcterms:created xsi:type="dcterms:W3CDTF">2023-08-01T16:41:00Z</dcterms:created>
  <dcterms:modified xsi:type="dcterms:W3CDTF">2023-08-01T18:16:00Z</dcterms:modified>
</cp:coreProperties>
</file>